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8C93" w14:textId="77777777" w:rsidR="00D7695A" w:rsidRDefault="00D7695A" w:rsidP="00D7695A">
      <w:r>
        <w:rPr>
          <w:b/>
          <w:bCs/>
          <w:sz w:val="24"/>
          <w:szCs w:val="24"/>
          <w:u w:val="single"/>
        </w:rPr>
        <w:t>Nieuwe Tussentijds Loonbeleid (NLB):</w:t>
      </w:r>
    </w:p>
    <w:p w14:paraId="616ABB11" w14:textId="77777777" w:rsidR="00D7695A" w:rsidRDefault="00D7695A" w:rsidP="00D7695A">
      <w:pPr>
        <w:rPr>
          <w:color w:val="000000"/>
          <w:lang w:eastAsia="en-US"/>
        </w:rPr>
      </w:pPr>
      <w:r>
        <w:rPr>
          <w:color w:val="000000"/>
        </w:rPr>
        <w:t xml:space="preserve">Ieder jaar in september worden de </w:t>
      </w:r>
      <w:proofErr w:type="spellStart"/>
      <w:r>
        <w:rPr>
          <w:color w:val="000000"/>
        </w:rPr>
        <w:t>midpoints</w:t>
      </w:r>
      <w:proofErr w:type="spellEnd"/>
      <w:r>
        <w:rPr>
          <w:color w:val="000000"/>
        </w:rPr>
        <w:t xml:space="preserve"> in het NLB aangepast door onze werkgever. </w:t>
      </w:r>
    </w:p>
    <w:p w14:paraId="569768F2" w14:textId="77777777" w:rsidR="00D7695A" w:rsidRDefault="00D7695A" w:rsidP="00D7695A">
      <w:pPr>
        <w:rPr>
          <w:color w:val="000000"/>
        </w:rPr>
      </w:pPr>
      <w:r>
        <w:rPr>
          <w:color w:val="000000"/>
        </w:rPr>
        <w:t xml:space="preserve">De </w:t>
      </w:r>
      <w:proofErr w:type="spellStart"/>
      <w:r>
        <w:rPr>
          <w:color w:val="000000"/>
        </w:rPr>
        <w:t>midpoints</w:t>
      </w:r>
      <w:proofErr w:type="spellEnd"/>
      <w:r>
        <w:rPr>
          <w:color w:val="000000"/>
        </w:rPr>
        <w:t xml:space="preserve"> vormen de basis (100%) van de loonvorken (min 70%, max 130%). </w:t>
      </w:r>
    </w:p>
    <w:p w14:paraId="09A1E9BA" w14:textId="77777777" w:rsidR="00D7695A" w:rsidRDefault="00D7695A" w:rsidP="00D7695A">
      <w:pPr>
        <w:rPr>
          <w:color w:val="000000"/>
        </w:rPr>
      </w:pPr>
      <w:r>
        <w:rPr>
          <w:color w:val="000000"/>
        </w:rPr>
        <w:t xml:space="preserve">Iedere werknemer in het NLB bevindt zich in zijn loonvork op een bepaalde positie </w:t>
      </w:r>
      <w:proofErr w:type="spellStart"/>
      <w:r>
        <w:rPr>
          <w:color w:val="000000"/>
        </w:rPr>
        <w:t>tov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midpoint</w:t>
      </w:r>
      <w:proofErr w:type="spellEnd"/>
      <w:r>
        <w:rPr>
          <w:color w:val="000000"/>
        </w:rPr>
        <w:t xml:space="preserve">, ook wel </w:t>
      </w:r>
      <w:proofErr w:type="spellStart"/>
      <w:r>
        <w:rPr>
          <w:color w:val="000000"/>
        </w:rPr>
        <w:t>comparatio</w:t>
      </w:r>
      <w:proofErr w:type="spellEnd"/>
      <w:r>
        <w:rPr>
          <w:color w:val="000000"/>
        </w:rPr>
        <w:t xml:space="preserve"> genoemd. Deze </w:t>
      </w:r>
      <w:proofErr w:type="spellStart"/>
      <w:r>
        <w:rPr>
          <w:color w:val="000000"/>
        </w:rPr>
        <w:t>comparatio</w:t>
      </w:r>
      <w:proofErr w:type="spellEnd"/>
      <w:r>
        <w:rPr>
          <w:color w:val="000000"/>
        </w:rPr>
        <w:t xml:space="preserve"> is een factor in de bepaling van de uiteindelijke loonsverhoging: hoe lager de </w:t>
      </w:r>
      <w:proofErr w:type="spellStart"/>
      <w:r>
        <w:rPr>
          <w:color w:val="000000"/>
        </w:rPr>
        <w:t>comparatio</w:t>
      </w:r>
      <w:proofErr w:type="spellEnd"/>
      <w:r>
        <w:rPr>
          <w:color w:val="000000"/>
        </w:rPr>
        <w:t xml:space="preserve"> hoe hoger de loonsverhoging, alles binnen bepaalde grenzen. De bovengrens van de loonvork bepaalt ook het hoogste loon dat behaald kan worden in die vork, klasse.  </w:t>
      </w:r>
    </w:p>
    <w:p w14:paraId="239047EF" w14:textId="77777777" w:rsidR="00D7695A" w:rsidRDefault="00D7695A" w:rsidP="00D7695A">
      <w:pPr>
        <w:rPr>
          <w:color w:val="000000"/>
        </w:rPr>
      </w:pPr>
    </w:p>
    <w:p w14:paraId="71245A9D" w14:textId="77777777" w:rsidR="00D7695A" w:rsidRDefault="00D7695A" w:rsidP="00D7695A">
      <w:pPr>
        <w:rPr>
          <w:color w:val="000000"/>
        </w:rPr>
      </w:pPr>
      <w:r>
        <w:rPr>
          <w:color w:val="000000"/>
        </w:rPr>
        <w:t xml:space="preserve">Het was afgelopen jaar een algemene klacht dat de vorige aanpassing van september ‘22 niet de trend van de indexverhogingen volgde. </w:t>
      </w:r>
    </w:p>
    <w:p w14:paraId="1AB51B1E" w14:textId="77777777" w:rsidR="00D7695A" w:rsidRDefault="00D7695A" w:rsidP="00D7695A">
      <w:pPr>
        <w:rPr>
          <w:color w:val="000000"/>
        </w:rPr>
      </w:pPr>
    </w:p>
    <w:p w14:paraId="30DE1EE6" w14:textId="77777777" w:rsidR="00D7695A" w:rsidRDefault="00D7695A" w:rsidP="00D7695A">
      <w:pPr>
        <w:rPr>
          <w:color w:val="000000"/>
        </w:rPr>
      </w:pPr>
      <w:r>
        <w:rPr>
          <w:color w:val="000000"/>
        </w:rPr>
        <w:t xml:space="preserve">Dankzij onze niet aflatende eis aan de werkgever vertonen de nieuwe </w:t>
      </w:r>
      <w:proofErr w:type="spellStart"/>
      <w:r>
        <w:rPr>
          <w:color w:val="000000"/>
        </w:rPr>
        <w:t>midpoints</w:t>
      </w:r>
      <w:proofErr w:type="spellEnd"/>
      <w:r>
        <w:rPr>
          <w:color w:val="000000"/>
        </w:rPr>
        <w:t xml:space="preserve"> een stijging van 7 tot 15% doorheen de verschillende </w:t>
      </w:r>
      <w:proofErr w:type="spellStart"/>
      <w:r>
        <w:rPr>
          <w:color w:val="000000"/>
        </w:rPr>
        <w:t>fuclaklassen</w:t>
      </w:r>
      <w:proofErr w:type="spellEnd"/>
      <w:r>
        <w:rPr>
          <w:color w:val="000000"/>
        </w:rPr>
        <w:t xml:space="preserve">. </w:t>
      </w:r>
    </w:p>
    <w:p w14:paraId="54541E97" w14:textId="77777777" w:rsidR="00D7695A" w:rsidRDefault="00D7695A" w:rsidP="00D7695A">
      <w:pPr>
        <w:rPr>
          <w:color w:val="000000"/>
        </w:rPr>
      </w:pPr>
      <w:r>
        <w:rPr>
          <w:color w:val="000000"/>
        </w:rPr>
        <w:t>Voor de periode tussen sept 2022 en sep 2023 is er 3 keer een indexverhoging met een effect van 6.12% voorgekomen. Bijgevolg kunnen we zeggen dat de indexverhogingen meer dan doorgerekend zijn.</w:t>
      </w:r>
    </w:p>
    <w:p w14:paraId="3A267A2C" w14:textId="77777777" w:rsidR="00D7695A" w:rsidRDefault="00D7695A" w:rsidP="00D7695A">
      <w:pPr>
        <w:rPr>
          <w:color w:val="000000"/>
        </w:rPr>
      </w:pPr>
      <w:r>
        <w:rPr>
          <w:color w:val="000000"/>
        </w:rPr>
        <w:t xml:space="preserve">Onze ACV-argumentatie </w:t>
      </w:r>
      <w:proofErr w:type="gramStart"/>
      <w:r>
        <w:rPr>
          <w:color w:val="000000"/>
        </w:rPr>
        <w:t>omtrent</w:t>
      </w:r>
      <w:proofErr w:type="gramEnd"/>
      <w:r>
        <w:rPr>
          <w:color w:val="000000"/>
        </w:rPr>
        <w:t xml:space="preserve"> het onvoldoende doorrekenen van de indexverhogingen in de </w:t>
      </w:r>
      <w:proofErr w:type="spellStart"/>
      <w:r>
        <w:rPr>
          <w:color w:val="000000"/>
        </w:rPr>
        <w:t>midpoints</w:t>
      </w:r>
      <w:proofErr w:type="spellEnd"/>
      <w:r>
        <w:rPr>
          <w:color w:val="000000"/>
        </w:rPr>
        <w:t xml:space="preserve"> in 2022 heeft uiteindelijk toch enig gehoor gekregen.</w:t>
      </w:r>
    </w:p>
    <w:p w14:paraId="7129B25D" w14:textId="77777777" w:rsidR="00D7695A" w:rsidRDefault="00D7695A" w:rsidP="00D7695A">
      <w:pPr>
        <w:rPr>
          <w:rFonts w:ascii="Aptos" w:hAnsi="Aptos"/>
          <w:color w:val="000000"/>
          <w:sz w:val="24"/>
          <w:szCs w:val="24"/>
        </w:rPr>
      </w:pPr>
    </w:p>
    <w:p w14:paraId="67AC8574" w14:textId="77777777" w:rsidR="00D7695A" w:rsidRDefault="00D7695A" w:rsidP="00D7695A">
      <w:pPr>
        <w:rPr>
          <w:rFonts w:ascii="Aptos" w:hAnsi="Aptos"/>
          <w:color w:val="000000"/>
          <w:sz w:val="24"/>
          <w:szCs w:val="24"/>
        </w:rPr>
      </w:pPr>
      <w:proofErr w:type="spellStart"/>
      <w:r>
        <w:rPr>
          <w:rFonts w:ascii="Aptos" w:hAnsi="Aptos"/>
          <w:color w:val="000000"/>
          <w:sz w:val="24"/>
          <w:szCs w:val="24"/>
        </w:rPr>
        <w:t>Midpoints</w:t>
      </w:r>
      <w:proofErr w:type="spellEnd"/>
      <w:r>
        <w:rPr>
          <w:rFonts w:ascii="Aptos" w:hAnsi="Aptos"/>
          <w:color w:val="000000"/>
          <w:sz w:val="24"/>
          <w:szCs w:val="24"/>
        </w:rPr>
        <w:t xml:space="preserve"> voor 2023/2024 voor onderstaande functieklassen A-F zijn:</w:t>
      </w:r>
    </w:p>
    <w:p w14:paraId="6088B417" w14:textId="77777777" w:rsidR="00D7695A" w:rsidRDefault="00D7695A" w:rsidP="00D7695A">
      <w:pPr>
        <w:ind w:firstLine="708"/>
        <w:rPr>
          <w:rFonts w:ascii="Aptos" w:hAnsi="Aptos"/>
          <w:b/>
          <w:bCs/>
          <w:color w:val="000000"/>
          <w:sz w:val="24"/>
          <w:szCs w:val="24"/>
        </w:rPr>
      </w:pPr>
      <w:r>
        <w:rPr>
          <w:rFonts w:ascii="Aptos" w:hAnsi="Aptos"/>
          <w:b/>
          <w:bCs/>
          <w:color w:val="000000"/>
          <w:sz w:val="24"/>
          <w:szCs w:val="24"/>
        </w:rPr>
        <w:t>A: 80.500</w:t>
      </w:r>
    </w:p>
    <w:p w14:paraId="7771C758" w14:textId="77777777" w:rsidR="00D7695A" w:rsidRDefault="00D7695A" w:rsidP="00D7695A">
      <w:pPr>
        <w:ind w:firstLine="708"/>
        <w:rPr>
          <w:rFonts w:ascii="Aptos" w:hAnsi="Aptos"/>
          <w:b/>
          <w:bCs/>
          <w:color w:val="000000"/>
          <w:sz w:val="24"/>
          <w:szCs w:val="24"/>
        </w:rPr>
      </w:pPr>
      <w:r>
        <w:rPr>
          <w:rFonts w:ascii="Aptos" w:hAnsi="Aptos"/>
          <w:b/>
          <w:bCs/>
          <w:color w:val="000000"/>
          <w:sz w:val="24"/>
          <w:szCs w:val="24"/>
        </w:rPr>
        <w:t>B: 68.500</w:t>
      </w:r>
    </w:p>
    <w:p w14:paraId="62F977DF" w14:textId="77777777" w:rsidR="00D7695A" w:rsidRDefault="00D7695A" w:rsidP="00D7695A">
      <w:pPr>
        <w:ind w:firstLine="708"/>
        <w:rPr>
          <w:rFonts w:ascii="Aptos" w:hAnsi="Aptos"/>
          <w:b/>
          <w:bCs/>
          <w:color w:val="000000"/>
          <w:sz w:val="24"/>
          <w:szCs w:val="24"/>
        </w:rPr>
      </w:pPr>
      <w:r>
        <w:rPr>
          <w:rFonts w:ascii="Aptos" w:hAnsi="Aptos"/>
          <w:b/>
          <w:bCs/>
          <w:color w:val="000000"/>
          <w:sz w:val="24"/>
          <w:szCs w:val="24"/>
        </w:rPr>
        <w:t>C: 61.400</w:t>
      </w:r>
    </w:p>
    <w:p w14:paraId="17789E6D" w14:textId="77777777" w:rsidR="00D7695A" w:rsidRDefault="00D7695A" w:rsidP="00D7695A">
      <w:pPr>
        <w:ind w:firstLine="708"/>
        <w:rPr>
          <w:rFonts w:ascii="Aptos" w:hAnsi="Aptos"/>
          <w:b/>
          <w:bCs/>
          <w:color w:val="000000"/>
          <w:sz w:val="24"/>
          <w:szCs w:val="24"/>
        </w:rPr>
      </w:pPr>
      <w:r>
        <w:rPr>
          <w:rFonts w:ascii="Aptos" w:hAnsi="Aptos"/>
          <w:b/>
          <w:bCs/>
          <w:color w:val="000000"/>
          <w:sz w:val="24"/>
          <w:szCs w:val="24"/>
        </w:rPr>
        <w:t>D: 54.600</w:t>
      </w:r>
    </w:p>
    <w:p w14:paraId="09626B1B" w14:textId="77777777" w:rsidR="00D7695A" w:rsidRDefault="00D7695A" w:rsidP="00D7695A">
      <w:pPr>
        <w:ind w:firstLine="708"/>
        <w:rPr>
          <w:rFonts w:ascii="Aptos" w:hAnsi="Aptos"/>
          <w:b/>
          <w:bCs/>
          <w:color w:val="000000"/>
          <w:sz w:val="24"/>
          <w:szCs w:val="24"/>
        </w:rPr>
      </w:pPr>
      <w:r>
        <w:rPr>
          <w:rFonts w:ascii="Aptos" w:hAnsi="Aptos"/>
          <w:b/>
          <w:bCs/>
          <w:color w:val="000000"/>
          <w:sz w:val="24"/>
          <w:szCs w:val="24"/>
        </w:rPr>
        <w:t>E: 48.700</w:t>
      </w:r>
    </w:p>
    <w:p w14:paraId="1FB3A46E" w14:textId="77777777" w:rsidR="00D7695A" w:rsidRDefault="00D7695A" w:rsidP="00D7695A">
      <w:pPr>
        <w:ind w:firstLine="708"/>
        <w:rPr>
          <w:rFonts w:ascii="Aptos" w:hAnsi="Aptos"/>
          <w:b/>
          <w:bCs/>
          <w:color w:val="000000"/>
          <w:sz w:val="24"/>
          <w:szCs w:val="24"/>
        </w:rPr>
      </w:pPr>
      <w:r>
        <w:rPr>
          <w:rFonts w:ascii="Aptos" w:hAnsi="Aptos"/>
          <w:b/>
          <w:bCs/>
          <w:color w:val="000000"/>
          <w:sz w:val="24"/>
          <w:szCs w:val="24"/>
        </w:rPr>
        <w:t>F: 43.500</w:t>
      </w:r>
    </w:p>
    <w:p w14:paraId="22A7953E" w14:textId="77777777" w:rsidR="00DC5AB0" w:rsidRDefault="00DC5AB0"/>
    <w:sectPr w:rsidR="00DC5AB0" w:rsidSect="006B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5A"/>
    <w:rsid w:val="00662AAA"/>
    <w:rsid w:val="006B2B2A"/>
    <w:rsid w:val="00A24474"/>
    <w:rsid w:val="00D7695A"/>
    <w:rsid w:val="00D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2651"/>
  <w15:chartTrackingRefBased/>
  <w15:docId w15:val="{80301D6F-0358-4C30-9348-2BF8F35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695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heupen, Nico [JANBE]</dc:creator>
  <cp:keywords/>
  <dc:description/>
  <cp:lastModifiedBy>Van heupen, Nico [JANBE]</cp:lastModifiedBy>
  <cp:revision>1</cp:revision>
  <dcterms:created xsi:type="dcterms:W3CDTF">2023-11-14T22:53:00Z</dcterms:created>
  <dcterms:modified xsi:type="dcterms:W3CDTF">2023-11-14T22:54:00Z</dcterms:modified>
</cp:coreProperties>
</file>